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71" w:rsidRPr="00654B21" w:rsidRDefault="00947E71" w:rsidP="00947E71">
      <w:pPr>
        <w:pStyle w:val="a6"/>
        <w:ind w:left="6237"/>
        <w:rPr>
          <w:rFonts w:ascii="TimesET" w:hAnsi="TimesET"/>
          <w:sz w:val="23"/>
          <w:szCs w:val="23"/>
          <w:lang w:eastAsia="zh-CN"/>
        </w:rPr>
      </w:pPr>
      <w:bookmarkStart w:id="0" w:name="_GoBack"/>
      <w:bookmarkEnd w:id="0"/>
      <w:r w:rsidRPr="00654B21">
        <w:rPr>
          <w:rFonts w:ascii="TimesET" w:hAnsi="TimesET"/>
          <w:sz w:val="23"/>
          <w:szCs w:val="23"/>
          <w:lang w:eastAsia="zh-CN"/>
        </w:rPr>
        <w:t xml:space="preserve">Утвержден приказом </w:t>
      </w:r>
    </w:p>
    <w:p w:rsidR="00947E71" w:rsidRPr="00654B21" w:rsidRDefault="00947E71" w:rsidP="00947E71">
      <w:pPr>
        <w:pStyle w:val="a6"/>
        <w:ind w:left="6237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Минкультуры Чувашии </w:t>
      </w:r>
    </w:p>
    <w:p w:rsidR="00947E71" w:rsidRPr="00654B21" w:rsidRDefault="00947E71" w:rsidP="00947E71">
      <w:pPr>
        <w:pStyle w:val="a6"/>
        <w:ind w:left="6237" w:right="-143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от </w:t>
      </w:r>
      <w:r w:rsidR="0089479F" w:rsidRPr="00654B21">
        <w:rPr>
          <w:rFonts w:ascii="TimesET" w:hAnsi="TimesET"/>
          <w:sz w:val="23"/>
          <w:szCs w:val="23"/>
          <w:lang w:eastAsia="zh-CN"/>
        </w:rPr>
        <w:t xml:space="preserve">20.06.2019 </w:t>
      </w:r>
      <w:r w:rsidRPr="00654B21">
        <w:rPr>
          <w:sz w:val="23"/>
          <w:szCs w:val="23"/>
          <w:lang w:eastAsia="zh-CN"/>
        </w:rPr>
        <w:t>№</w:t>
      </w:r>
      <w:r w:rsidR="0089479F" w:rsidRPr="00654B21">
        <w:rPr>
          <w:rFonts w:ascii="TimesET" w:hAnsi="TimesET"/>
          <w:sz w:val="23"/>
          <w:szCs w:val="23"/>
          <w:lang w:eastAsia="zh-CN"/>
        </w:rPr>
        <w:t xml:space="preserve"> 323</w:t>
      </w:r>
    </w:p>
    <w:p w:rsidR="00BD5003" w:rsidRPr="00654B21" w:rsidRDefault="00947E71" w:rsidP="00947E71">
      <w:pPr>
        <w:pStyle w:val="a6"/>
        <w:ind w:left="6237" w:right="-143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(приложение </w:t>
      </w:r>
      <w:r w:rsidRPr="00654B21">
        <w:rPr>
          <w:sz w:val="23"/>
          <w:szCs w:val="23"/>
          <w:lang w:eastAsia="zh-CN"/>
        </w:rPr>
        <w:t>№</w:t>
      </w:r>
      <w:r w:rsidR="002948A2">
        <w:rPr>
          <w:sz w:val="23"/>
          <w:szCs w:val="23"/>
          <w:lang w:eastAsia="zh-CN"/>
        </w:rPr>
        <w:t xml:space="preserve"> </w:t>
      </w:r>
      <w:r w:rsidRPr="00654B21">
        <w:rPr>
          <w:rFonts w:ascii="TimesET" w:hAnsi="TimesET"/>
          <w:sz w:val="23"/>
          <w:szCs w:val="23"/>
          <w:lang w:eastAsia="zh-CN"/>
        </w:rPr>
        <w:t>2)</w:t>
      </w:r>
    </w:p>
    <w:p w:rsidR="00BD5003" w:rsidRPr="00654B21" w:rsidRDefault="00BD5003" w:rsidP="00DE0048">
      <w:pPr>
        <w:pStyle w:val="a6"/>
        <w:tabs>
          <w:tab w:val="left" w:pos="1485"/>
        </w:tabs>
        <w:jc w:val="both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ab/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(культурно-досуговые учреждения)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4653"/>
        <w:gridCol w:w="1500"/>
        <w:gridCol w:w="1500"/>
        <w:gridCol w:w="1500"/>
      </w:tblGrid>
      <w:tr w:rsidR="00BD5003" w:rsidRPr="00654B21" w:rsidTr="00596417">
        <w:trPr>
          <w:trHeight w:val="13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/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proofErr w:type="spellStart"/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Максималь</w:t>
            </w:r>
            <w:proofErr w:type="spellEnd"/>
            <w:r w:rsidR="00D373BD"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но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16535D" w:rsidRPr="00654B21" w:rsidTr="00AE35D3">
        <w:trPr>
          <w:trHeight w:val="18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1F7848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</w:t>
            </w:r>
          </w:p>
        </w:tc>
      </w:tr>
      <w:tr w:rsidR="00AE35D3" w:rsidRPr="00654B21" w:rsidTr="00596417">
        <w:trPr>
          <w:trHeight w:val="112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клубная система города Чебоксары»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2</w:t>
            </w:r>
          </w:p>
        </w:tc>
      </w:tr>
      <w:tr w:rsidR="00AE35D3" w:rsidRPr="00654B21" w:rsidTr="00596417">
        <w:trPr>
          <w:trHeight w:val="87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Дворец культуры «Салют»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458,60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91,72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3</w:t>
            </w:r>
          </w:p>
        </w:tc>
      </w:tr>
      <w:tr w:rsidR="00AE35D3" w:rsidRPr="00654B21" w:rsidTr="00124D84">
        <w:trPr>
          <w:trHeight w:val="115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клубная система» Комсомольского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448,10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89,62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4</w:t>
            </w:r>
          </w:p>
        </w:tc>
      </w:tr>
      <w:tr w:rsidR="00600957" w:rsidRPr="00654B21" w:rsidTr="00654B21">
        <w:trPr>
          <w:trHeight w:val="112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автономное учреждение культуры «Централизованная клубная система» Мариинско-Посадского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88,66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5</w:t>
            </w:r>
          </w:p>
        </w:tc>
      </w:tr>
      <w:tr w:rsidR="00600957" w:rsidRPr="00654B21" w:rsidTr="00124D84">
        <w:trPr>
          <w:trHeight w:val="107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«Централизованная клубная система» Чебоксарского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442,20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88,44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6</w:t>
            </w:r>
          </w:p>
        </w:tc>
      </w:tr>
      <w:tr w:rsidR="00AE35D3" w:rsidRPr="00654B21" w:rsidTr="00596417">
        <w:trPr>
          <w:trHeight w:val="98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E35D3" w:rsidRPr="00654B21" w:rsidRDefault="00AE35D3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«Дворец культуры» Химик»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433,60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7</w:t>
            </w:r>
          </w:p>
        </w:tc>
      </w:tr>
      <w:tr w:rsidR="00A63065" w:rsidRPr="00654B21" w:rsidTr="00596417">
        <w:trPr>
          <w:trHeight w:val="1424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3065" w:rsidRPr="00654B21" w:rsidRDefault="00A63065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3065" w:rsidRPr="00654B21" w:rsidRDefault="00A63065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8</w:t>
            </w:r>
          </w:p>
        </w:tc>
      </w:tr>
      <w:tr w:rsidR="001F7848" w:rsidRPr="00654B21" w:rsidTr="00654B21">
        <w:trPr>
          <w:trHeight w:val="88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16535D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«Мемориальный комплекс «Победа»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419,90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83,98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</w:t>
            </w:r>
          </w:p>
        </w:tc>
      </w:tr>
    </w:tbl>
    <w:p w:rsidR="00654B21" w:rsidRPr="00654B21" w:rsidRDefault="00654B21">
      <w:pPr>
        <w:rPr>
          <w:rFonts w:ascii="TimesET" w:hAnsi="TimesET"/>
          <w:sz w:val="23"/>
          <w:szCs w:val="23"/>
        </w:rPr>
      </w:pPr>
    </w:p>
    <w:p w:rsidR="00654B21" w:rsidRPr="00654B21" w:rsidRDefault="00654B21">
      <w:pPr>
        <w:rPr>
          <w:rFonts w:ascii="TimesET" w:hAnsi="TimesET"/>
          <w:sz w:val="23"/>
          <w:szCs w:val="23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4653"/>
        <w:gridCol w:w="1500"/>
        <w:gridCol w:w="1500"/>
        <w:gridCol w:w="1500"/>
      </w:tblGrid>
      <w:tr w:rsidR="001F7848" w:rsidRPr="00654B21" w:rsidTr="00654B21">
        <w:trPr>
          <w:trHeight w:val="164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1F78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клубная 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lastRenderedPageBreak/>
              <w:t xml:space="preserve">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Канашского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lastRenderedPageBreak/>
              <w:t>409,80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81,96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10</w:t>
            </w:r>
          </w:p>
        </w:tc>
      </w:tr>
      <w:tr w:rsidR="001F7848" w:rsidRPr="00654B21" w:rsidTr="00596417">
        <w:trPr>
          <w:trHeight w:val="88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Дворец культуры «Акация»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396,00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79,20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11</w:t>
            </w:r>
          </w:p>
        </w:tc>
      </w:tr>
      <w:tr w:rsidR="001F7848" w:rsidRPr="00654B21" w:rsidTr="001F7848">
        <w:trPr>
          <w:trHeight w:val="87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«Городской Дворец культуры» г.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375,50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75,10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12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widowControl/>
        <w:adjustRightInd/>
        <w:spacing w:line="240" w:lineRule="auto"/>
        <w:jc w:val="left"/>
        <w:textAlignment w:val="auto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(библиотеки)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2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/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8E606D" w:rsidRPr="00654B21" w:rsidTr="00596417">
        <w:trPr>
          <w:trHeight w:val="15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499,40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99,88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8E606D" w:rsidRPr="00654B21" w:rsidTr="00596417">
        <w:trPr>
          <w:trHeight w:val="176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«Чувашская республиканская специальная библиотека имени Л. Н. Толстого»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98,80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8E606D" w:rsidRPr="00654B21" w:rsidTr="00596417">
        <w:trPr>
          <w:trHeight w:val="182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98,00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  <w:tr w:rsidR="008370E8" w:rsidRPr="00654B21" w:rsidTr="00596417">
        <w:trPr>
          <w:trHeight w:val="11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«Централизованная библиотечная система» Чебоксарского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8370E8" w:rsidRPr="00654B21" w:rsidTr="00596417">
        <w:trPr>
          <w:trHeight w:val="72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«Объединение библиотек города Чебоксары»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480,20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96,04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8370E8" w:rsidRPr="00654B21" w:rsidTr="00124D84">
        <w:trPr>
          <w:trHeight w:val="16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 «Городская централизованная библиотечная система» города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475,50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</w:tbl>
    <w:p w:rsidR="00654B21" w:rsidRPr="00654B21" w:rsidRDefault="00654B21">
      <w:pPr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8370E8" w:rsidRPr="00654B21" w:rsidTr="00654B21">
        <w:trPr>
          <w:trHeight w:val="26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библиотечная система» Комсомольского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461,50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92,30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</w:tr>
      <w:tr w:rsidR="0016535D" w:rsidRPr="00654B21" w:rsidTr="00596417">
        <w:trPr>
          <w:trHeight w:val="126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lastRenderedPageBreak/>
              <w:t>8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библиотечная система» Мариинско-Посадского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458,20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91,64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</w:t>
            </w:r>
          </w:p>
        </w:tc>
      </w:tr>
      <w:tr w:rsidR="008370E8" w:rsidRPr="00654B21" w:rsidTr="00596417">
        <w:trPr>
          <w:trHeight w:val="14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«Районный центр развития культуры и библиотечного обслуживания»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Цивильского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457,20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91,44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8370E8" w:rsidRPr="00654B21" w:rsidTr="00596417">
        <w:trPr>
          <w:trHeight w:val="93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10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«Библиотека»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90,80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10</w:t>
            </w:r>
          </w:p>
        </w:tc>
      </w:tr>
      <w:tr w:rsidR="008370E8" w:rsidRPr="00654B21" w:rsidTr="00596417">
        <w:trPr>
          <w:trHeight w:val="128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89,92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11</w:t>
            </w:r>
          </w:p>
        </w:tc>
      </w:tr>
      <w:tr w:rsidR="00ED41FE" w:rsidRPr="00654B21" w:rsidTr="00596417">
        <w:trPr>
          <w:trHeight w:val="117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D41FE" w:rsidRPr="00654B21" w:rsidRDefault="00ED41FE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D41FE" w:rsidRPr="00654B21" w:rsidRDefault="00ED41FE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Канашского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424,70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84,94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12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(музеи)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1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п/п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BD5003" w:rsidRPr="00654B21" w:rsidTr="00124D84">
        <w:trPr>
          <w:trHeight w:val="160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Бюджетное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национальный музей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499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580711" w:rsidRPr="00654B21" w:rsidTr="00056F66">
        <w:trPr>
          <w:trHeight w:val="178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«Чувашский государственный художественный музей»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492,60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98,52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7C6051" w:rsidRPr="00654B21" w:rsidTr="00056F66">
        <w:trPr>
          <w:trHeight w:val="8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 культуры Чебоксарского района Чувашской Республики «Музей «Бичурин и современность»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471,60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94,32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  <w:tr w:rsidR="00BD5003" w:rsidRPr="00654B21" w:rsidTr="00596417">
        <w:trPr>
          <w:trHeight w:val="17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Бюджетное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Мемориальный комплекс летчика-космонавта СССР А.</w:t>
            </w:r>
            <w:r w:rsidR="007C6051" w:rsidRPr="00654B21">
              <w:rPr>
                <w:rFonts w:ascii="TimesET" w:hAnsi="TimesET"/>
                <w:color w:val="000000"/>
                <w:sz w:val="23"/>
                <w:szCs w:val="23"/>
              </w:rPr>
              <w:t> 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Г.</w:t>
            </w:r>
            <w:r w:rsidR="007C6051" w:rsidRPr="00654B21">
              <w:rPr>
                <w:rFonts w:ascii="TimesET" w:hAnsi="TimesET"/>
                <w:color w:val="000000"/>
                <w:sz w:val="23"/>
                <w:szCs w:val="23"/>
              </w:rPr>
              <w:t> 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Николаева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452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7C6051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«Музей верховых чувашей»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lastRenderedPageBreak/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lastRenderedPageBreak/>
              <w:t>449,60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89,92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580711" w:rsidRPr="00654B21" w:rsidTr="00056F66">
        <w:trPr>
          <w:trHeight w:val="13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«Историко-художественный музейный комплекс»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434,60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  <w:tr w:rsidR="00600957" w:rsidRPr="00654B21" w:rsidTr="00056F66">
        <w:trPr>
          <w:trHeight w:val="83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 «Краеведческий музей» города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</w:tr>
      <w:tr w:rsidR="007C6051" w:rsidRPr="00654B21" w:rsidTr="00056F66">
        <w:trPr>
          <w:trHeight w:val="98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 «Районный краеведческий музей» Мариинско-Посадского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402,80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80,56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9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(театры)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1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п/п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BD5003" w:rsidRPr="00654B21" w:rsidTr="00056F66">
        <w:trPr>
          <w:trHeight w:val="16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государственный театр кукол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1F7848" w:rsidRPr="00654B21" w:rsidTr="00056F66">
        <w:trPr>
          <w:trHeight w:val="214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«Чувашский государственный ордена Трудового Красного Знамени академический драматический театр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им.К.В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. Иванова»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199,60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BD5003" w:rsidRPr="00654B21" w:rsidTr="00596417">
        <w:trPr>
          <w:trHeight w:val="162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Государственный ордена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Знак Почета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русский драматический театр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194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</w:tbl>
    <w:p w:rsidR="00654B21" w:rsidRDefault="00654B21"/>
    <w:p w:rsidR="00654B21" w:rsidRDefault="00654B21"/>
    <w:tbl>
      <w:tblPr>
        <w:tblpPr w:leftFromText="180" w:rightFromText="180" w:vertAnchor="text" w:tblpY="1"/>
        <w:tblOverlap w:val="never"/>
        <w:tblW w:w="9735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1F7848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186,60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1F7848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«Чувашский государственный ордена Дружбы народов театр юного зрителя им. М.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Сеспеля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172,60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BD5003" w:rsidRPr="00654B21" w:rsidTr="00596417">
        <w:trPr>
          <w:trHeight w:val="18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государственный экспериментальный театр драмы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</w:tbl>
    <w:p w:rsidR="00BD5003" w:rsidRPr="00850819" w:rsidRDefault="00850819" w:rsidP="00850819">
      <w:pPr>
        <w:pStyle w:val="a6"/>
        <w:rPr>
          <w:rFonts w:asciiTheme="minorHAnsi" w:hAnsiTheme="minorHAnsi"/>
          <w:sz w:val="23"/>
          <w:szCs w:val="23"/>
        </w:rPr>
      </w:pPr>
      <w:r w:rsidRPr="00654B21">
        <w:rPr>
          <w:rFonts w:ascii="TimesET" w:hAnsi="TimesET"/>
          <w:sz w:val="23"/>
          <w:szCs w:val="23"/>
        </w:rPr>
        <w:t xml:space="preserve"> </w:t>
      </w:r>
    </w:p>
    <w:sectPr w:rsidR="00BD5003" w:rsidRPr="00850819" w:rsidSect="00DE0048">
      <w:pgSz w:w="11906" w:h="16838"/>
      <w:pgMar w:top="36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672"/>
    <w:multiLevelType w:val="hybridMultilevel"/>
    <w:tmpl w:val="1976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F08CF"/>
    <w:multiLevelType w:val="hybridMultilevel"/>
    <w:tmpl w:val="45D68158"/>
    <w:lvl w:ilvl="0" w:tplc="D68EB17A">
      <w:start w:val="1"/>
      <w:numFmt w:val="decimal"/>
      <w:lvlText w:val="%1."/>
      <w:lvlJc w:val="left"/>
      <w:pPr>
        <w:ind w:left="915" w:hanging="555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77988"/>
    <w:multiLevelType w:val="hybridMultilevel"/>
    <w:tmpl w:val="1976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A66D5C"/>
    <w:multiLevelType w:val="hybridMultilevel"/>
    <w:tmpl w:val="54829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A0"/>
    <w:rsid w:val="00001FE5"/>
    <w:rsid w:val="0000200F"/>
    <w:rsid w:val="00003C84"/>
    <w:rsid w:val="00003E3F"/>
    <w:rsid w:val="000060D3"/>
    <w:rsid w:val="00006200"/>
    <w:rsid w:val="00022A91"/>
    <w:rsid w:val="000237A1"/>
    <w:rsid w:val="0002544D"/>
    <w:rsid w:val="00027812"/>
    <w:rsid w:val="00030D58"/>
    <w:rsid w:val="00033B27"/>
    <w:rsid w:val="00036B08"/>
    <w:rsid w:val="0003791E"/>
    <w:rsid w:val="000452E7"/>
    <w:rsid w:val="0005127C"/>
    <w:rsid w:val="00054BC7"/>
    <w:rsid w:val="00055AD0"/>
    <w:rsid w:val="00056F66"/>
    <w:rsid w:val="00062F2D"/>
    <w:rsid w:val="00065102"/>
    <w:rsid w:val="000674C6"/>
    <w:rsid w:val="00072B3D"/>
    <w:rsid w:val="00083828"/>
    <w:rsid w:val="000878A3"/>
    <w:rsid w:val="0009046A"/>
    <w:rsid w:val="00090DBE"/>
    <w:rsid w:val="00092947"/>
    <w:rsid w:val="00093BAC"/>
    <w:rsid w:val="000A56C8"/>
    <w:rsid w:val="000A600B"/>
    <w:rsid w:val="000B2B48"/>
    <w:rsid w:val="000B33BB"/>
    <w:rsid w:val="000C4F28"/>
    <w:rsid w:val="000D0B32"/>
    <w:rsid w:val="000D7803"/>
    <w:rsid w:val="000D7BA0"/>
    <w:rsid w:val="000E3715"/>
    <w:rsid w:val="000F0CA7"/>
    <w:rsid w:val="000F43DD"/>
    <w:rsid w:val="000F4A38"/>
    <w:rsid w:val="00105CBF"/>
    <w:rsid w:val="001118E4"/>
    <w:rsid w:val="00111A62"/>
    <w:rsid w:val="00115D77"/>
    <w:rsid w:val="00124D84"/>
    <w:rsid w:val="00126740"/>
    <w:rsid w:val="001362AF"/>
    <w:rsid w:val="0015113B"/>
    <w:rsid w:val="00155CD3"/>
    <w:rsid w:val="0016535D"/>
    <w:rsid w:val="001770F8"/>
    <w:rsid w:val="001827FD"/>
    <w:rsid w:val="00182B61"/>
    <w:rsid w:val="00191201"/>
    <w:rsid w:val="0019402A"/>
    <w:rsid w:val="001A442C"/>
    <w:rsid w:val="001A5706"/>
    <w:rsid w:val="001B0DE0"/>
    <w:rsid w:val="001C711B"/>
    <w:rsid w:val="001D4C41"/>
    <w:rsid w:val="001D586D"/>
    <w:rsid w:val="001D6202"/>
    <w:rsid w:val="001E084A"/>
    <w:rsid w:val="001E1525"/>
    <w:rsid w:val="001E276C"/>
    <w:rsid w:val="001F09BC"/>
    <w:rsid w:val="001F2670"/>
    <w:rsid w:val="001F7848"/>
    <w:rsid w:val="002071CA"/>
    <w:rsid w:val="00226636"/>
    <w:rsid w:val="0023324E"/>
    <w:rsid w:val="00243352"/>
    <w:rsid w:val="0025023F"/>
    <w:rsid w:val="0026264F"/>
    <w:rsid w:val="002627A0"/>
    <w:rsid w:val="002721A8"/>
    <w:rsid w:val="00276CCD"/>
    <w:rsid w:val="00292422"/>
    <w:rsid w:val="002948A2"/>
    <w:rsid w:val="002B4E54"/>
    <w:rsid w:val="002C0734"/>
    <w:rsid w:val="002D03C8"/>
    <w:rsid w:val="002D2F27"/>
    <w:rsid w:val="002E4C46"/>
    <w:rsid w:val="002F6396"/>
    <w:rsid w:val="00310556"/>
    <w:rsid w:val="003134F1"/>
    <w:rsid w:val="0031477C"/>
    <w:rsid w:val="00314F3B"/>
    <w:rsid w:val="003158EF"/>
    <w:rsid w:val="00325AD3"/>
    <w:rsid w:val="0034755C"/>
    <w:rsid w:val="00353B37"/>
    <w:rsid w:val="0035534B"/>
    <w:rsid w:val="003629F7"/>
    <w:rsid w:val="00363A12"/>
    <w:rsid w:val="00364D12"/>
    <w:rsid w:val="003656E4"/>
    <w:rsid w:val="0037054C"/>
    <w:rsid w:val="003865D1"/>
    <w:rsid w:val="00395F17"/>
    <w:rsid w:val="003A327B"/>
    <w:rsid w:val="003A44A0"/>
    <w:rsid w:val="003B0AD1"/>
    <w:rsid w:val="003C29D8"/>
    <w:rsid w:val="003D0C0D"/>
    <w:rsid w:val="003F2318"/>
    <w:rsid w:val="004032CF"/>
    <w:rsid w:val="004055B2"/>
    <w:rsid w:val="00415918"/>
    <w:rsid w:val="004201E4"/>
    <w:rsid w:val="00422DCF"/>
    <w:rsid w:val="004232A5"/>
    <w:rsid w:val="00423D38"/>
    <w:rsid w:val="0043017D"/>
    <w:rsid w:val="00430BCA"/>
    <w:rsid w:val="00435F74"/>
    <w:rsid w:val="00436904"/>
    <w:rsid w:val="00461033"/>
    <w:rsid w:val="004642C2"/>
    <w:rsid w:val="00476DB2"/>
    <w:rsid w:val="00484098"/>
    <w:rsid w:val="00484152"/>
    <w:rsid w:val="0048448A"/>
    <w:rsid w:val="0048702C"/>
    <w:rsid w:val="00493056"/>
    <w:rsid w:val="00493328"/>
    <w:rsid w:val="004A5303"/>
    <w:rsid w:val="004B0915"/>
    <w:rsid w:val="004B3831"/>
    <w:rsid w:val="004C02F6"/>
    <w:rsid w:val="004D676B"/>
    <w:rsid w:val="004E18E3"/>
    <w:rsid w:val="005020D9"/>
    <w:rsid w:val="00503A46"/>
    <w:rsid w:val="00514CA9"/>
    <w:rsid w:val="00516176"/>
    <w:rsid w:val="0051669F"/>
    <w:rsid w:val="0051754D"/>
    <w:rsid w:val="00532452"/>
    <w:rsid w:val="00534ED0"/>
    <w:rsid w:val="00535A5C"/>
    <w:rsid w:val="00540C2E"/>
    <w:rsid w:val="005428D7"/>
    <w:rsid w:val="00551DD8"/>
    <w:rsid w:val="00566E56"/>
    <w:rsid w:val="005674A2"/>
    <w:rsid w:val="00574803"/>
    <w:rsid w:val="00580711"/>
    <w:rsid w:val="00586462"/>
    <w:rsid w:val="00587D00"/>
    <w:rsid w:val="00596417"/>
    <w:rsid w:val="00597843"/>
    <w:rsid w:val="00597C2E"/>
    <w:rsid w:val="005A6ABB"/>
    <w:rsid w:val="005B4E7D"/>
    <w:rsid w:val="005B5C0A"/>
    <w:rsid w:val="005C0EA0"/>
    <w:rsid w:val="005C1FB0"/>
    <w:rsid w:val="005C3E41"/>
    <w:rsid w:val="005C6443"/>
    <w:rsid w:val="005D056C"/>
    <w:rsid w:val="005D58BD"/>
    <w:rsid w:val="005E655F"/>
    <w:rsid w:val="005E68BA"/>
    <w:rsid w:val="00600957"/>
    <w:rsid w:val="00601D0E"/>
    <w:rsid w:val="00603024"/>
    <w:rsid w:val="006036A3"/>
    <w:rsid w:val="00606326"/>
    <w:rsid w:val="0061078B"/>
    <w:rsid w:val="006112D6"/>
    <w:rsid w:val="00612860"/>
    <w:rsid w:val="00612870"/>
    <w:rsid w:val="00616E36"/>
    <w:rsid w:val="00625737"/>
    <w:rsid w:val="006277F6"/>
    <w:rsid w:val="00630CEA"/>
    <w:rsid w:val="0063208B"/>
    <w:rsid w:val="006334EA"/>
    <w:rsid w:val="00633F3D"/>
    <w:rsid w:val="00647AE0"/>
    <w:rsid w:val="0065298D"/>
    <w:rsid w:val="00654B21"/>
    <w:rsid w:val="00660FA5"/>
    <w:rsid w:val="00662E4A"/>
    <w:rsid w:val="0066360F"/>
    <w:rsid w:val="006709F1"/>
    <w:rsid w:val="00670D6A"/>
    <w:rsid w:val="0067144D"/>
    <w:rsid w:val="00671694"/>
    <w:rsid w:val="006733FA"/>
    <w:rsid w:val="00683AFB"/>
    <w:rsid w:val="00697A43"/>
    <w:rsid w:val="006A6D56"/>
    <w:rsid w:val="006B025B"/>
    <w:rsid w:val="006C1754"/>
    <w:rsid w:val="006C2E33"/>
    <w:rsid w:val="006D1197"/>
    <w:rsid w:val="006D1622"/>
    <w:rsid w:val="006D2E3A"/>
    <w:rsid w:val="006D3CED"/>
    <w:rsid w:val="006D3D7B"/>
    <w:rsid w:val="006E0D17"/>
    <w:rsid w:val="006E1C77"/>
    <w:rsid w:val="006E448E"/>
    <w:rsid w:val="006F4A33"/>
    <w:rsid w:val="00700E71"/>
    <w:rsid w:val="00721D23"/>
    <w:rsid w:val="007221BE"/>
    <w:rsid w:val="00726479"/>
    <w:rsid w:val="00727A5A"/>
    <w:rsid w:val="007300D0"/>
    <w:rsid w:val="007326AB"/>
    <w:rsid w:val="00732F27"/>
    <w:rsid w:val="00742351"/>
    <w:rsid w:val="0074743A"/>
    <w:rsid w:val="007526DA"/>
    <w:rsid w:val="00755156"/>
    <w:rsid w:val="007616A2"/>
    <w:rsid w:val="00766A16"/>
    <w:rsid w:val="00767E30"/>
    <w:rsid w:val="007767AA"/>
    <w:rsid w:val="00780B84"/>
    <w:rsid w:val="00794722"/>
    <w:rsid w:val="0079726D"/>
    <w:rsid w:val="007A0E2F"/>
    <w:rsid w:val="007B4D9F"/>
    <w:rsid w:val="007B5D4E"/>
    <w:rsid w:val="007C4AE6"/>
    <w:rsid w:val="007C4B02"/>
    <w:rsid w:val="007C6051"/>
    <w:rsid w:val="007C6C17"/>
    <w:rsid w:val="007D3491"/>
    <w:rsid w:val="007D589A"/>
    <w:rsid w:val="007D73F2"/>
    <w:rsid w:val="007F739D"/>
    <w:rsid w:val="00800384"/>
    <w:rsid w:val="00802A47"/>
    <w:rsid w:val="008060D3"/>
    <w:rsid w:val="008145E5"/>
    <w:rsid w:val="00816C85"/>
    <w:rsid w:val="008171BA"/>
    <w:rsid w:val="00830275"/>
    <w:rsid w:val="00831281"/>
    <w:rsid w:val="00833174"/>
    <w:rsid w:val="008370E8"/>
    <w:rsid w:val="00850819"/>
    <w:rsid w:val="00850DEF"/>
    <w:rsid w:val="0086432D"/>
    <w:rsid w:val="00870473"/>
    <w:rsid w:val="00887110"/>
    <w:rsid w:val="0089479F"/>
    <w:rsid w:val="00897AD6"/>
    <w:rsid w:val="008B1BBF"/>
    <w:rsid w:val="008B4C8B"/>
    <w:rsid w:val="008B7763"/>
    <w:rsid w:val="008D61F8"/>
    <w:rsid w:val="008D6CAB"/>
    <w:rsid w:val="008E0590"/>
    <w:rsid w:val="008E293B"/>
    <w:rsid w:val="008E4BEF"/>
    <w:rsid w:val="008E606D"/>
    <w:rsid w:val="008E7677"/>
    <w:rsid w:val="008F1FAF"/>
    <w:rsid w:val="008F7A1C"/>
    <w:rsid w:val="0090700B"/>
    <w:rsid w:val="009230C3"/>
    <w:rsid w:val="0092440B"/>
    <w:rsid w:val="0092563C"/>
    <w:rsid w:val="0093251E"/>
    <w:rsid w:val="00940991"/>
    <w:rsid w:val="00943C7D"/>
    <w:rsid w:val="00946817"/>
    <w:rsid w:val="00947E71"/>
    <w:rsid w:val="0096166B"/>
    <w:rsid w:val="00964CB3"/>
    <w:rsid w:val="009673BF"/>
    <w:rsid w:val="009703F0"/>
    <w:rsid w:val="00983A5F"/>
    <w:rsid w:val="009932A3"/>
    <w:rsid w:val="009B5D7D"/>
    <w:rsid w:val="009B6EFD"/>
    <w:rsid w:val="009C11BB"/>
    <w:rsid w:val="009C1228"/>
    <w:rsid w:val="009D63F4"/>
    <w:rsid w:val="009D6BD8"/>
    <w:rsid w:val="00A01141"/>
    <w:rsid w:val="00A10909"/>
    <w:rsid w:val="00A12F70"/>
    <w:rsid w:val="00A15BF9"/>
    <w:rsid w:val="00A274EC"/>
    <w:rsid w:val="00A339C2"/>
    <w:rsid w:val="00A4005F"/>
    <w:rsid w:val="00A4031B"/>
    <w:rsid w:val="00A41EF5"/>
    <w:rsid w:val="00A50BD7"/>
    <w:rsid w:val="00A55A71"/>
    <w:rsid w:val="00A57735"/>
    <w:rsid w:val="00A63065"/>
    <w:rsid w:val="00A66674"/>
    <w:rsid w:val="00A675EF"/>
    <w:rsid w:val="00A75CD5"/>
    <w:rsid w:val="00A801E0"/>
    <w:rsid w:val="00A81813"/>
    <w:rsid w:val="00A90A5E"/>
    <w:rsid w:val="00A93D4D"/>
    <w:rsid w:val="00AA325B"/>
    <w:rsid w:val="00AA4D34"/>
    <w:rsid w:val="00AA578B"/>
    <w:rsid w:val="00AB112B"/>
    <w:rsid w:val="00AB1961"/>
    <w:rsid w:val="00AB2F12"/>
    <w:rsid w:val="00AB6E38"/>
    <w:rsid w:val="00AB72D7"/>
    <w:rsid w:val="00AC5394"/>
    <w:rsid w:val="00AC723F"/>
    <w:rsid w:val="00AD64BF"/>
    <w:rsid w:val="00AE1AEF"/>
    <w:rsid w:val="00AE35D3"/>
    <w:rsid w:val="00AE56C2"/>
    <w:rsid w:val="00AF4E9C"/>
    <w:rsid w:val="00AF5B59"/>
    <w:rsid w:val="00B044AF"/>
    <w:rsid w:val="00B2058F"/>
    <w:rsid w:val="00B313B3"/>
    <w:rsid w:val="00B33B48"/>
    <w:rsid w:val="00B349AA"/>
    <w:rsid w:val="00B504B6"/>
    <w:rsid w:val="00B50ED2"/>
    <w:rsid w:val="00B53609"/>
    <w:rsid w:val="00B562F8"/>
    <w:rsid w:val="00B6080A"/>
    <w:rsid w:val="00B64FE3"/>
    <w:rsid w:val="00B65453"/>
    <w:rsid w:val="00B705AC"/>
    <w:rsid w:val="00B71EE5"/>
    <w:rsid w:val="00B73BBE"/>
    <w:rsid w:val="00B82541"/>
    <w:rsid w:val="00B86F40"/>
    <w:rsid w:val="00B87A66"/>
    <w:rsid w:val="00B87BD9"/>
    <w:rsid w:val="00B96FF3"/>
    <w:rsid w:val="00BA00C7"/>
    <w:rsid w:val="00BA4444"/>
    <w:rsid w:val="00BA71B8"/>
    <w:rsid w:val="00BB0053"/>
    <w:rsid w:val="00BC0D4B"/>
    <w:rsid w:val="00BC11E8"/>
    <w:rsid w:val="00BC1700"/>
    <w:rsid w:val="00BD274B"/>
    <w:rsid w:val="00BD3FC1"/>
    <w:rsid w:val="00BD44CE"/>
    <w:rsid w:val="00BD5003"/>
    <w:rsid w:val="00BE2ABF"/>
    <w:rsid w:val="00BE32E4"/>
    <w:rsid w:val="00BE3637"/>
    <w:rsid w:val="00C04C47"/>
    <w:rsid w:val="00C10578"/>
    <w:rsid w:val="00C1508F"/>
    <w:rsid w:val="00C23C79"/>
    <w:rsid w:val="00C35692"/>
    <w:rsid w:val="00C542A0"/>
    <w:rsid w:val="00C57D15"/>
    <w:rsid w:val="00C6553F"/>
    <w:rsid w:val="00C70246"/>
    <w:rsid w:val="00C75A27"/>
    <w:rsid w:val="00C82F66"/>
    <w:rsid w:val="00C845BD"/>
    <w:rsid w:val="00C90D34"/>
    <w:rsid w:val="00C95E5C"/>
    <w:rsid w:val="00C96FAF"/>
    <w:rsid w:val="00CA2E9B"/>
    <w:rsid w:val="00CA2ED3"/>
    <w:rsid w:val="00CC29B6"/>
    <w:rsid w:val="00CD5AE9"/>
    <w:rsid w:val="00CE17B3"/>
    <w:rsid w:val="00D03C6C"/>
    <w:rsid w:val="00D136D3"/>
    <w:rsid w:val="00D141DF"/>
    <w:rsid w:val="00D1733B"/>
    <w:rsid w:val="00D226BB"/>
    <w:rsid w:val="00D268D8"/>
    <w:rsid w:val="00D32402"/>
    <w:rsid w:val="00D333F9"/>
    <w:rsid w:val="00D34150"/>
    <w:rsid w:val="00D373BD"/>
    <w:rsid w:val="00D417BE"/>
    <w:rsid w:val="00D449C8"/>
    <w:rsid w:val="00D51E14"/>
    <w:rsid w:val="00D548B4"/>
    <w:rsid w:val="00D64360"/>
    <w:rsid w:val="00D707E2"/>
    <w:rsid w:val="00D70F5E"/>
    <w:rsid w:val="00D75C67"/>
    <w:rsid w:val="00D76793"/>
    <w:rsid w:val="00D77362"/>
    <w:rsid w:val="00D77DD5"/>
    <w:rsid w:val="00D8114C"/>
    <w:rsid w:val="00D954A6"/>
    <w:rsid w:val="00D965F8"/>
    <w:rsid w:val="00DA2630"/>
    <w:rsid w:val="00DA2A60"/>
    <w:rsid w:val="00DC2B6D"/>
    <w:rsid w:val="00DC7FCA"/>
    <w:rsid w:val="00DD0C32"/>
    <w:rsid w:val="00DD0D68"/>
    <w:rsid w:val="00DD1380"/>
    <w:rsid w:val="00DD1D98"/>
    <w:rsid w:val="00DD42E3"/>
    <w:rsid w:val="00DE0048"/>
    <w:rsid w:val="00DE537A"/>
    <w:rsid w:val="00DE5B22"/>
    <w:rsid w:val="00DF78BA"/>
    <w:rsid w:val="00E019D3"/>
    <w:rsid w:val="00E0203A"/>
    <w:rsid w:val="00E142EB"/>
    <w:rsid w:val="00E206A0"/>
    <w:rsid w:val="00E21693"/>
    <w:rsid w:val="00E27245"/>
    <w:rsid w:val="00E353E6"/>
    <w:rsid w:val="00E43AA1"/>
    <w:rsid w:val="00E45F3E"/>
    <w:rsid w:val="00E55033"/>
    <w:rsid w:val="00E5674F"/>
    <w:rsid w:val="00E611CF"/>
    <w:rsid w:val="00E67BD6"/>
    <w:rsid w:val="00E71364"/>
    <w:rsid w:val="00E8002E"/>
    <w:rsid w:val="00E9082C"/>
    <w:rsid w:val="00E92D08"/>
    <w:rsid w:val="00E939DA"/>
    <w:rsid w:val="00E93A61"/>
    <w:rsid w:val="00EB318E"/>
    <w:rsid w:val="00EB7282"/>
    <w:rsid w:val="00EC3CCC"/>
    <w:rsid w:val="00EC680B"/>
    <w:rsid w:val="00ED114F"/>
    <w:rsid w:val="00ED2134"/>
    <w:rsid w:val="00ED41FE"/>
    <w:rsid w:val="00ED4FED"/>
    <w:rsid w:val="00EE0E98"/>
    <w:rsid w:val="00EE2DCC"/>
    <w:rsid w:val="00EF27EA"/>
    <w:rsid w:val="00EF4D83"/>
    <w:rsid w:val="00F008DE"/>
    <w:rsid w:val="00F0279D"/>
    <w:rsid w:val="00F0592E"/>
    <w:rsid w:val="00F125CD"/>
    <w:rsid w:val="00F1523B"/>
    <w:rsid w:val="00F21D95"/>
    <w:rsid w:val="00F22D04"/>
    <w:rsid w:val="00F23E0A"/>
    <w:rsid w:val="00F25192"/>
    <w:rsid w:val="00F32A4B"/>
    <w:rsid w:val="00F332C0"/>
    <w:rsid w:val="00F47F74"/>
    <w:rsid w:val="00F65172"/>
    <w:rsid w:val="00F735D2"/>
    <w:rsid w:val="00F85F4D"/>
    <w:rsid w:val="00F91011"/>
    <w:rsid w:val="00F92557"/>
    <w:rsid w:val="00F97722"/>
    <w:rsid w:val="00FB4EE7"/>
    <w:rsid w:val="00FC5215"/>
    <w:rsid w:val="00FD42D8"/>
    <w:rsid w:val="00FD66DE"/>
    <w:rsid w:val="00FF14F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48673F-B2B8-984B-9F19-64146BB8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6EFD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542A0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542A0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D2F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D2F27"/>
    <w:rPr>
      <w:rFonts w:ascii="Tahoma" w:hAnsi="Tahoma"/>
      <w:sz w:val="16"/>
    </w:rPr>
  </w:style>
  <w:style w:type="paragraph" w:styleId="a6">
    <w:name w:val="No Spacing"/>
    <w:uiPriority w:val="99"/>
    <w:qFormat/>
    <w:rsid w:val="00D226BB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BD274B"/>
    <w:pPr>
      <w:widowControl/>
      <w:adjustRightInd/>
      <w:spacing w:after="120" w:line="240" w:lineRule="auto"/>
      <w:ind w:left="283"/>
      <w:jc w:val="left"/>
      <w:textAlignment w:val="auto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D274B"/>
    <w:rPr>
      <w:rFonts w:cs="Times New Roman"/>
    </w:rPr>
  </w:style>
  <w:style w:type="paragraph" w:styleId="a9">
    <w:name w:val="Plain Text"/>
    <w:basedOn w:val="a"/>
    <w:link w:val="aa"/>
    <w:uiPriority w:val="99"/>
    <w:rsid w:val="008060D3"/>
    <w:pPr>
      <w:widowControl/>
      <w:adjustRightInd/>
      <w:spacing w:line="240" w:lineRule="auto"/>
      <w:jc w:val="left"/>
      <w:textAlignment w:val="auto"/>
    </w:pPr>
    <w:rPr>
      <w:sz w:val="22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060D3"/>
    <w:rPr>
      <w:sz w:val="22"/>
    </w:rPr>
  </w:style>
  <w:style w:type="paragraph" w:customStyle="1" w:styleId="NoSpacing1">
    <w:name w:val="No Spacing1"/>
    <w:uiPriority w:val="99"/>
    <w:rsid w:val="008060D3"/>
    <w:rPr>
      <w:rFonts w:ascii="Calibri" w:hAnsi="Calibri"/>
    </w:rPr>
  </w:style>
  <w:style w:type="paragraph" w:customStyle="1" w:styleId="ListParagraph1">
    <w:name w:val="List Paragraph1"/>
    <w:basedOn w:val="a"/>
    <w:uiPriority w:val="99"/>
    <w:rsid w:val="00DE537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7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6158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Гость</cp:lastModifiedBy>
  <cp:revision>2</cp:revision>
  <cp:lastPrinted>2019-07-08T10:54:00Z</cp:lastPrinted>
  <dcterms:created xsi:type="dcterms:W3CDTF">2020-10-07T06:35:00Z</dcterms:created>
  <dcterms:modified xsi:type="dcterms:W3CDTF">2020-10-07T06:35:00Z</dcterms:modified>
</cp:coreProperties>
</file>